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31.01.2020, оставленным без изменения постановлением Девятого арбитражного апелляционного суда от 19.03.2020 и постановлением Арбитражного суда Московского округа от 30.06.2020, исковые требования удовлетворены. В кассационной жалобе, поданной в Верховный Суд Российской Федерации, общество, ссылаясь на несоответствие выводов судов фактическим обстоятельствам дела, просит отменить указанные судебные акты и направить дело на новое рассмотрение в Арбитражный суд города Москвы в ином составе судей.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Требования департамента (арендодателя) мотивированы ненадлежащим исполнением обществом (арендатором) обязательств по уплате арендных платежей по договору от 02.02.2006 № 01-00122/06 аренды нежилого помещения.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 отсутствие доказательств оплаты задолженности по арендной плате за спорный период и, руководствуясь статьями 307 , 309 , 310 , 329 , 330 , 614 , 615 Гражданского кодекса Российской Федерации, проверив и признав верным расчет департамента, пришли к выводу о наличии оснований для удовлетворения исковых требований.С указанными выводами впоследствии согласился суд округа. Довод общества о подписании искового заявления неуполномоченным лицом проверен судом первой инстанции и отклонен как противоречащий материалам дела. Довод заявителя о необоснованном отказе суда первой инстанции в удовлетворении ходатайства об истребовании доказательств является несостоятельным, поскольку отказ суда мотивирован непредставлением доказательств невозможности получения соответствующих документов самостоятельно, что согласуется с требованиями пункта 4 статьи 66 Арбитражного процессуального кодекса Российской Федерации. Довод жалобы о неправомерном отказе суда округа в удовлетворении ходатайства об отложении судебного заседания отклоняется, так как в силу статьи 158 Арбитражного процессуального кодекса Российской Федерации совершение данного процессуального действия является правом, а не обязанностью суда. Иные доводы заявителя, в том числе о неприменении положений статьи 333 Гражданского кодекса Российской Федерации, злоупотреблении правом со стороны департамента, были предметом рассмотрения судов и получили правовую оценку. Доводы кассационной жалобы не опровергают выводы судов и не подтверждают существенных нарушений судом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«Чистые пруды»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Департамент городского имущества города Москвы (ДГИ) (подробнее) Ответчики: ООО "Чистые пруды" (подробнее) Судьи дела: Чучунова Н.С.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