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02.08.2019, оставленным без изменения постановлением Тринадцатого арбитражного апелляционного суда от 29.11.2019 и постановлением Арбитражного суда Северо-Западного округа от 04.06.2020, исковое заявление в части требования о взыскании 868 500 руб. неустойки оставлено без рассмотрения; в остальной части в удовлетворении исковых требований отказано. В кассационной жалобе, поданной в Верховный Суд Российской Федерации, общество, ссылаясь на нарушение судом округа норм процессуального права, просит изменить постановление от 04.06.2020, исключив из его мотивировочной части вывод, касающийся исполнения обществом договора.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компания (заказчик) и общество (подрядчик) 22.05.2017 заключили договор подряда № 1-АВК (далее – договор), во исполнение условий которого заказчик перечислил подрядчику денежные средства в общей сумме 890 000 руб. Компания, ссылаясь на то, что по ее инициативе договорные отношения между сторонами прекращены, а обществом не исполнены требования о возврате перечисленных заказчиком денежных средств, обратилась в арбитражный суд с настоящим иском.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статьей 1102 Гражданского кодекса Российской Федерации, суды первой и апелляционной инстанций пришли к выводу об отсутствии оснований для удовлетворения требования компании о взыскании неотработанного аванса ввиду недоказанности последней факта расторжения договора в одностороннем порядке. Суд округа согласился с приведенными выводами судов, признав при этом необоснованным вывод суда первой инстанции об отсутствии у компании оснований для истребования аванса в связи с исполнением обществом договора в полном объеме, указав, что такие обстоятельства при рассмотрении спора судом не исследовались. Доводы общества о превышении судом округа полномочий, предоставленных ему процессуальным законодательством, подлежат отклонению как не нашедшие своего подтверждения в ходе рассмотрения кассационной жалобы. Доводы кассационной жалобы не подтверждают существенных нарушений судом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«АВК Фасад»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"Сириус" (подробнее) Ответчики: ООО "АВК Фасад"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