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– Чувашии от 02.06.2019, оставленным без изменения постановлением Первого арбитражного апелляционного суда от 26.12.2019 и постановлением Арбитражного суда Волго-Вятского округа от 18.05.2020, с общества в пользу компании взыскано 360 092 руб. 20 коп. долга, 782 085 руб. 15 коп. неустойки, начисленной за период с 31.05.2016 по 21.05.2019,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права, просит изменить указанные судебные акты в части взыскания неустойки и принять новый судебный акт о взыскании процентов за пользование чужими денежными средствами.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Принимая судебные акты в обжалуемой части, суды руководствовались статьями 329 , 330 Гражданского кодекса Российской Федерации и исходили из доказанности факта нарушения обществом срока внесения арендных платежей и наличия оснований для начисления договорной неустойки за заявленный компанией период просрочки. Доводы общества о необоснованном начислении неустойки после расторжения договора были предметом рассмотрения судов и получили правовую оценку. Доводы кассационной жалобы не опровергают выводы судов и не подтверждают существенных нарушений судом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«РПК-Проект»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"СпецМастер" (подробнее) Ответчики: ООО "РПК-Проект"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