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07.11.2019, оставленным без изменения постановлением Девятого арбитражного апелляционного суда от 16.03.2020 и постановлением Арбитражного суда Московского округа от 07.07.2020, заявление учреждения о взыскании судебных расходов удовлетворено. В кассационной жалобе предприниматель просит об отмене судебных актов, ссылаясь на отсутствие у заявленных расходов критериев судебных.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Оценивая обоснованность судебных расходов, суды руководствовались критериями, определенными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статьях 101 , 106 , 110 , 112 Арбитражного процессуального кодекса Российской Федерации, и учитывали обстоятельства рассмотрения дела.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ФЕДЕРАЛЬНОЕ ГОСУДАРСТВЕННОЕ БЮДЖЕТНОЕ НАУЧНО-ИССЛЕДОВАТЕЛЬСКОЕ УЧРЕЖДЕНИЕ "СОВЕТ ПО ИЗУЧЕНИЮ ПРОИЗВОДИТЕЛЬНЫХ СИЛ"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