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22.11.2019, оставленным без изменения постановлением Восемнадцатого арбитражного апелляционного суда от 20.02.2020 и постановлением Арбитражного суда Уральского округа от 15.05.2020, иск удовлетворен. В кассационной жалобе общество «Роста-Терминал» просит об отмене судебных актов, ссылаясь на неустановление наименования перевозимого груза и неосновательный отказ в уменьшении штрафа.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Наименование груза, от провозной платы за который исчислен штраф, определено исходя из указанных ответчиком в железнодорожной накладной сведений. Установление обстоятельств, влияющих на уменьшение неустойки пределах данного дела,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«Роста-Терминал»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"РЖД" (подробнее) ОАО "Российские железные дороги" в лице Северо-Кавказской железной дороги-филиала "Ржд" (подробнее) Ответчики: ООО "РОСТА-Терминал" (подробнее) Иные лица: Арбитражный суд Уральского окурга (подробнее) Восемнадцатый арбитражный апелляционный суд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