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12.12.2019, оставленным без изменения постановлениями Семнадцатого арбитражного апелляционного суда от 03.03.2020 и Арбитражного суда Уральского округа от 15.06.2020, в удовлетворении исковых требований отказано. В кассационной жалобе, поданной в Верховный Суд Российской Федерации, общество ставит вопрос об отмене принятых по делу судебных актов, ссылаясь на существенное нарушение норм материального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между администрацией (заказчик) и обществом (подрядчик) заключен муниципальный контракт от 22.11.2016 № 0162300003316000018-0118694-01 на выполнение работ по разработке проектной и рабочей документации. В связи с односторонним отказом подрядчика от исполнения контракта в адрес администрации направлена претензия от 24.01.2019 № 01-521, в которой подрядчик, ссылаясь на положения статьи 719 Гражданского кодекса Российской Федерации, потребовал возмещения убытков в виде расходов на оплату стоимости проведения государственной экспертизы, стоимости работ, оплаченных предпринимателю, расходов на запрос гидрометеорологической информации и данных о загрязнении окружающей среды в общей сумме 1 342 088 рублей 76 копеек. Неисполнение заказчиком указанного требования послужило основанием для обращения подрядчика в арбитражный суд. Отказывая в удовлетворении иска, суды признали недоказанной совокупность условий для привлечения ответчика к гражданско-правовой ответственности в виде возмещения убытков. При рассмотрении спора судами установлено, что оказание заказчиком содействия по сбору исходных данных не предполагает обязательное предоставление подрядчику документов, указанных им в запросах, при отсутствии доказательств того, что обществом запрашиваемые сведения не могут быть получены в самостоятельном порядке в рамках исполнения обязательства по контракту по сбору исходных данных. Кроме того, подрядчик, являясь профессиональным участником рынка в области проектирования в строительстве, направляя в орган государственной экспертизы проектную документацию без необходимого объема информации, отсутствующей у заказчика, должен был понимать, что разработанная им документация не могла получить положительное заключение. Таким образом, из содержания отрицательного заключения государственной экспертизы не следует, что недостатки проектной документации возникли исключительно по вине заказчика. Учитывая установленные обстоятельства, руководствуясь положениями статей 15 , 393 Гражданского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указали на необоснованность требования подрядчика о взыскании с заказчика убытков. Обстоятельства данного спора и представленные доказательства были предметом рассмотрения и оценки судов. Доводы кассационной жалобы направлены на иную оценку установленных фактических обстоятельств дела и представленных в материалы дела доказательств, не опровергают выводы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«Проектно-строительная компания «Стройгород»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Арбитражный суд Самарской области (подробнее) ООО ПРОЕКТНО-СТРОИТЕЛЬНАЯ КОМПАНИЯ СТРОЙГОРОД (подробнее) Ответчики: Администрация городского округа Дегтярск (подробнее) Судьи дела: Антонова М.К.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