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Краснодарского края от 11.10.2019, оставленным без изменения постановлением Пятнадцатого арбитражного апелляционного суда от 30.12.2019 и постановлением Арбитражного суда Северо-Кавказского округа от 28.05.2020, иск удовлетворен частично. В кассационной жалобе общество просит об отмене судебных актов, ссылаясь на необоснованность выводов о наличии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Необходимые в силу статей 15 , 1064 Гражданского кодекса Российской Федерации условия для взыскания убытков с общества как управляющей организации (статья 162 Жилищного кодекса Российской Федерации) были установлены судами по итогу исследования и оценки представленных доказательств. Оспаривание оценки обстоятельств возникновения убытков, заложенное в доводах жалобы,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ООО "Партнер" (подробнее) ООО УПРАВЛЯЮЩАЯ КОМПАНИЯ "ПАРТНЁР"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