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26.08.2020 с ходатайством о восстановлении срока. Предприниматель указывает, что не мог подать жалобу в установленный срок по объективным причинам.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Предприниматель подал ходатайство за пределами названного срока, поэтому срок восстановлению не подлежит. Учитывая подачу документов в электронном виде, жалоба не рассматривается по существу, государственная пошлина принимаемым определением не возвращается.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восстановлении срока подачи кассационной жалобы на решение Арбитражного суда Волгоградской области от 04.07.2019 по делу № А12-1349/2019, постановление Двенадцатого арбитражного апелляционного суда от 09.09.2019 и постановление Арбитражного суда Поволжского округа от 14.02.2020 по тому же делу. Кассационную жалобу не рассматривать по существу.Судья Верховного Суда Российской Федерации Н.А. Ксенофонтова Суд: Верховный Суд РФ (подробнее) Ответчики: ООО "ПАРТЕЗ"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