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Карелия от 21.10.2019, оставленным без изменения постановлением Тринадцатого арбитражного апелляционного суда от 25.12.2019 и постановлением Арбитражного суда Северо-Западного округа от 14.05.2020, иск удовлетворен. В кассационной жалобе институт просит о пересмотре судебных актов как основанных на недоказанных фактах и не соответствующих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Судебные акты соответствуют статьям 309 , 310 , 330 Гражданского кодекса Российской Федерации и установленным обстоятельствам исполнения контракта от 02.06.2015 № 12/15-13. Требуемая переоценка обстоятельств, влияющих на взыскание неустойки, не составляет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«Институт архитектурно-строительного проектирования, геотехники и реконструкции»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ФГБУК "Государственный историко-архитектурный и этнографический музей-заповедник "Кижи" (подробнее) ФГБУ культуры "Государственный историко-архитектурный и этнографический музей-заповедник "Кижи" (подробнее) Ответчики: ООО "Институт архитектурно-строительного проектирования, геотехники и реконструкции"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