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21.01.2020 исковые требования удовлетворены. Определением Девятого арбитражного апелляционного суда от 18.05.2020, оставленным без изменения постановлением Арбитражного суда Московского округа от 23.06.2020, апелляционная жалоба возвращена заводу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завод просит о пересмотре судебных актов в отношении возвращения апелляционной жалобы, ссылаясь на отсутствие осведомленности об извещении ответчика о рассмотрении дела и невозможность исполнения решения при имевшем место ненадлежащем извещении ответчика.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Несвоевременная подача апелляционной жалобы не состоит в причинно- следственной связи с извещением ответчика о рассмотрении дела, поэтому указанную причину суды правомерно не признали создающей основание для восстановления срока.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«Завод «Энергокабель»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