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30.08.2018 был принят отказ истца от части требований с прекращением по ним производства, в остальной части иск удовлетворен. Определением Арбитражного суда Московской области от 25.12.2019, оставленным без изменения постановлением Десятого арбитражного апелляционного суда от 24.03.2020 и постановлением Арбитражного суда Московского округа от 25.06.2020, заявление общества «Квингруп» о пересмотре решения от 30.08.2018 по вновь открывшимся обстоятельствам возвращено заявителю в связи с несоответствием заявленного обстоятельства критериям вновь открывшегося. 2 В кассационной жалобе общество «Квингруп» просит отменить судебные акты, принятые по заявлению о вновь открывшихся обстоятельствах, вследствие неправильной правовой квалификации заявленного обстоятельства.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При принятии решения от 30.08.2018 судом установлены основания приобретения обществом АвтоЦентр» права собственности на транспортные средства, послужившие основанием для их истребования. Отчуждение обществом «Квингруп» истребованного имущества не слагает с него исполнения вмененной судом обязанности другим способом, поэтому не является существенным для дела обстоятельством и не влечет в силу пункта 1 части 2 статьи 311 Арбитражного процессуального кодекса Российской Федерации пересмотра судебного акта.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«Квингруп»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