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13.12.2019 иск удовлетворен. Постановлением Второго арбитражного апелляционного суда от 26.02.2020 производство по делу в части взыскания 16 995 рублей 87 копеек процентов за пользование чужими денежными средствами прекращено в связи с отказом от иска, с ответчика в пользу истца взыскано 20 173 964 рубля 76 копеек долга и 87 052 рубля 04 копейки процентов за пользование чужими денежными средствами за период с 18.06.2019 по 08.07.2019. Постановлением Арбитражного суда Волго-Вятского округа от 09.06.2020 решение и постановление апелляционного суда оставлены без изменения. В кассационной жалобе общество «Комэлси» просит об отмене судебных актов в связи с ненадлежащей оценкой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к обозначенным основаниям для кассационного пересмотра судебных актов не относятся.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«Комэлси»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"Энергокапитал" (подробнее) Ответчики: ООО "Комэлси"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