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16.10.2019 иск удовлетворен. Постановлением Тринадцатого арбитражного апелляционного суда от 25.02.2020, оставленным без изменения и постановлением Арбитражного суда Северо-Западного округа от 23.06.2020, решение отменено, иск удовлетворен частично в связи с применением статьи 333 Гражданского кодекса Российской Федерации. В кассационной жалобе общество «Рефрижераторный Экспресс» просит об отмене судебных актов апелляционного и окружного судов, ссылаясь на отсутствие вины в перегрузе вагона и претензий к весу отправленных контейнеров, нарушение единообразного рассмотрения подобных споров.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неправильное указание заявителем в перевозочных документах массы отправленных контейнеров, повлекшее перегруз вагона, в который контейнеры погружены, удостоверено актом общей формы и коммерческим актом, поэтому довод об отсутствии вины опровергается установленными обстоятельствами. Исходя из установленных обстоятельств нарушения единообразия в рассмотрении данного дела и указанных в жалобе дел отсутствует.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«Рефрижераторный Экспресс»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в лице Дальневосточного территориального центра фирменного транспортного обслуживания (подробнее) Ответчики: ООО "РЕФРИЖЕРАТОРНЫЙ ЭКСПРЕСС"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