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Семченко Е.В. обратился в суд с заявлением о признании недействительными сделками договоров купли-продажи земельных участков от 25.09.2017 № 2, 3, 4, 5, 6, 7, 8, 10, 11, 12, 13, 14, 22, 23, 24, 25, 26, 27, 29, 33, заключенных между должником и Копейкиной Г.М., и о применении последствий недействительности сделки. Определением Арбитражного суда Московской области от 28.10.2019, оставленным без изменения постановлениями Десятого арбитражного апелляционного суда от 11.02.2020 и Арбитражного суда Московского округа от 26.06.2020, заявление удовлетворено, применены последствия недействительности сделок виде взыскания с Копейкиной Г.М. в конкурсную массу Кравцова Виктора Федоровича 13 095 028 рублей. Не согласившись с вышеуказанными судебными актами, Копейкина Г.М.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Копейкиной Галины Михайловны о приостановлении исполнения определения Арбитражного суда Московской области от 28.10.2019 по делу № А41-103054/2017, оставленного без изменения постановлением Десятого арбитражного апелляционного суда от 11.02.2020 и постановлением Арбитражного суда Московского округа от 26.06.2020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