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17.10.2019, оставленным без изменения постановлением Девятого арбитражного апелляционного суда от 11.12.2019 и постановлением Арбитражного суда Московского округа от 22.05.2020, с предприятия взыскано 6 845 126 рублей 66 копеек задолженности, 2 155 701 рубль 53 копейки пеней, 456 341 рубль 79 копеек штрафа, 150 000 рублей расходов на услуги представителя. В кассационной жалобе предприятие просит о пересмотре судебных актов, ссылаясь на неустановление надлежащего исполнения обществом договора и возникновения обязанности по оплате.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 сторон в части поставки, установки, приемки программного обеспечения разрешен в рамках дела № А40-249852/2017, оспаривание установленных в котором обстоятельств недопустимо. Руководствуясь статьями 330 , 395 , 506 , 516 Гражданского кодекса Российской Федерации, суды удовлетворили иск в соответствии с обстоятельствами исполнения обязательств по договору от 07.12.2015 № 67-05-55/15.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города Москвы «Мосгортранс»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"РАСЧЕТНО-ПЛАТЕЖНЫЙ ЦЕНТР" (подробнее) Ответчики: ГУП города Москвы "Мосгортранс"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