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06.08.2019, оставленным без изменения постановлением Семнадцатого арбитражного апелляционного суда от 08.11.2019 и постановлением Арбитражного суда Уральского округа от 14.05.2020, в удовлетворении иска отказано. В кассационной жалобе общество просит об отмене судебных актов, ссылаясь на неправомерные принятие электронной переписки и толкование договора в пользу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достижение результата, для которого заключены договоры от 02.02.2017 № 8-56/17-Э, 8-57/17-Э, 8-58/17-Э, 8-59/17-Э, и неправомерный отказ от них общества после предъявления результата полномочному лицу, поэтому, руководствуясь статьями 309 , 310 , 779 , 781 Гражданского кодекса Российской Федерации, не признали основания для возврата уплаченных денежных средств. Требуемая в жалобе переоценка доказательств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«Вортекс»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"ПРОИЗВОДСТВЕННАЯ КОМПАНИЯ "ВОРТЕКС" (подробнее) Ответчики: ГУП "Московский городской центр дезинфекции"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