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19.11.2019 взыскано 255 877 рублей 50 копеек страхового возмещения, 3 500 рублей расходов экспертизу, 20 000 рублей неустойки и неустойка с 13.11.2019 по день фактического исполнения обязательства в размере 0,1% за каждый день просрочки. Шестнадцатый арбитражный апелляционный суд постановлением от 17.02.2020 отменил решение от 19.11.2019 и отказал в удовлетворении иска. Арбитражный суд Северо-Кавказского округа постановлением от 04.06.2020 постановление Шестнадцатого арбитражного апелляционного суда от 17.02.2020 оставил без изменения. В кассационной жалобе предприниматель просит об отмене судебных актов апелляционного и окружного судов, ссылаясь на ненадлежащее исследование имеющихся доказательств взаимодействия со страховщиком.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инстанции, повторно рассмотревший дело, установил, что после обращения к страховщику его требование о предоставлении поврежденного транспортного средства для осмотра потерпевшая сторона не выполнила, заблаговременно самостоятельно организовав проведение оценки повреждений, чем нарушила установленный статьей 12 Федерального закона от 25.04.2002 № 40-ФЗ «Об обязательном страховании гражданской ответственности владельцев транспортных средств» порядок действий в связи с наступившим страховым случаем. Довод заявителя об игнорировании судами первичного обращения к страховщику с заявлением о выплате неоснователен, поскольку суды установили, что заявление о выплате страхового возмещения направлено страховщику 22.09.2016 и он неоднократно просил о предоставлении транспортного средства на осмотр. Совершение потерпевшей стороной ответных действий на указанное требование судами не установлено.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Хизриев Ш. А. (подробнее) ИП Хизриев Шамиль Алиевич (подробнее) Ответчики: ПАО СТРАХОВАЯ КОМПАНИЯ "РОСГОССТРАХ"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