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31.10.2019, оставленным без изменения постановлением Девятого арбитражного апелляционного суда от 28.01.2020 и постановлением Арбитражного суда Московского округа от 22.05.2020, в удовлетворении иска отказано. В кассационной жалобе общество «Энергия» просит об отмене судебных актов, ссылаясь на неисследование условий и обстоятельств поставки. В соответствии частью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ответчик передал товар на перечисленную в порядке предоплаты сумму, поэтому признали невозникновение у истца прав на отказ от договора и возврат оплаченной суммы. Иная оценка обстоятельств исполнения договора и их последствий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«Энергия»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"ЭНЕРГИЯ" (подробнее) Ответчики: ООО "СВЕТОТЕХНИЧЕСКИЙ ЗАВОД СВЕТОРЕЗЕРВ"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