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акционерная компания «Энергогарант» обратилось в Арбитражный суд города Москвы с иском о взыскании с акционерного общества «Страховая компания «Пари» 3 034 481 рубля 89 копеек ущерба и взыскании с общества с ограниченной ответственностью «Самком-Доставка» 892 460 рублей 78 копеек ущерба. Решением Арбитражного суда города Москвы от 22.10.2019 иск удовлетворен. Постановлением Девятого арбитражного апелляционного суда от 20.01.2020 решение суда первой инстанции оставлено без изменения. Арбитражный суд Московского округа постановлением от 18.05.2020 указанные судебные акты оставил без изменения. Акционерное общество «Страховая компания «Пари»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929 , 930 , 931 , 965 , 1064 Гражданского кодекса Российской Федерации, суды сделали вывод о наличии оснований для удовлетворения иска за счет привлеченных ответчиков.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«Пари»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АВИТИ (подробнее) ПАО "Страховая акционерная компания "ЭНЕРГОГАРАНТ" (подробнее) Ответчики: АО "Страховая компания "ПАРИ" (подробнее) ООО "САМКОМ-ДОСТАВКА"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