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17.10.2019, оставленным без изменения постановлением Второго арбитражного апелляционного суда от 27.01.2020 и постановлением Арбитражного суда Волго-Вятского округа от 08.06.2020, первоначальный иск удовлетворен, в удовлетворении встречного иска отказано. В кассационной жалобе общество «Группа компаний «Реалснабсервис» просит о пересмотре судебных актов, ссылаясь на отсутствие неосновательного обогащения, учитывая неосуществление самовывоза готового к поставке до расторжения договора товара, несоблюдение досудебного порядка урегулирования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применительно к условиям договора от 11.05.2012 № 230512 и исследованным обстоятельствам его исполнения признали наличие у истца основания для отказа от него в силу статьи 523 Гражданского кодекса Российской Федерации с взысканием заявленной в первоначальном иске неотоваренной части аванса в качестве последствия прекращения договора. Вопросы досудебного порядка урегулирования спора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«Реалснабсервис»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"ПОЛИ-ТРЕЙД" (подробнее) Ответчики: ООО "ГРУППА КОМПАНИЙ "РЕАЛСНАБСЕРВИС" (подробнее) Иные лица: Арбитражный суд Волго-Вятского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