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25.04.2019 иск удовлетворен. Решением Арбитражного суда Республики Крым от 10.12.2019 заявление предпринимателя о пересмотре по вновь открывшимся обстоятельствам решения от 25.04.2019 удовлетворено, решение отменено. Постановлением Двадцать первого арбитражного апелляционного суда от 28.02.2020, оставленным без изменения постановлением Арбитражного суда Центрального округа от 15.06.2020, решение от 10.12.2019 отменено, в удовлетворении заявления предпринимателя о пересмотре по вновь открывшимся обстоятельствам решения от 25.04.2019 отказано. В кассационной жалобе предприниматель просит о пересмотре судебных актов апелляционного и окружного судов об отказе в пересмотре судебного акта, ссылаясь на существенность представленных им документов для судебного акта по делу.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Своевременно не представленные в обоснование доводов и возражений доказательства не обладают признаком объективно существовавших, но не известных заявителю и суду обстоятельств, в связи с выявлением которых судебный акт подлежал бы пересмотру в силу пункта 1 части 2 статьи 311 Арбитражного процессуального кодекса Российской Федерации, на что правильно указали суды.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"ГИДРОМОНТАЖ ВБ" (подробнее) Ответчики: ИП Смирнов Алексей Николаевич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