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28.06.2019, оставленным без изменения постановлением Первого арбитражного апелляционного суда от 16.12.2019 и постановлением Арбитражного суда Волго-Вятского округа от 26.05.2020, иск удовлетворен частично. В кассационной жалобе предприниматель просит о пересмотре судебных актов, ссылаясь на противоречие их установленным в ранее рассмотренных делах обстоятельствам, неправильную оценку доказательств, отсутствие неосновательного обогащения, неправильное применение исковой данности, несоблюдение досудебного порядка урегулирования спора в отношении увеличенной части иска.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Признание судами обязанности заказчика оплатить только фактически оказанные услуги соответствует статьям 779 , 781 Гражданского кодекса Российской Федерации. Установив, что объем оказанных услуг в рамках ранее рассмотренных дел не устанавливался и на заявленную сумму услуги не оказаны, суды правомерно признали ее обладающей признаками неосновательного обогащения, в отношении возврата которого применяется общий срок исковой давности, предусмотренный статьей 196 Гражданского кодекса Российской Федерации. Вопросы досудебного порядка урегулирования спора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"СМТ-ГРУПП" (подробнее) Ответчики: ИП Крупа Мария Вячеславовна (подробнее) Иные лица: ОП №7 УМВД России по г. Н. Новгороду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