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13.11.2019 взыскано 744 094 рублей 70 копеек неустойки. Постановлением Тринадцатого арбитражного апелляционного суда от 27.02.2020 решение изменено: взыскано 744 094 рубля 70 копеек неустойки, 6 282 457 рублей 42 копеек процентов за пользование коммерческим кредитом. Постановлением Арбитражного суда Северо-Западного округа от 15.06.2020 постановление апелляционного суда отменено, решение оставлено в силе. В кассационной жалобе общество «МеталлГрупп Северо-Запад» просит отменить решение и постановление окружного суда, ссылаясь на противоречие их договору.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исходя из согласованных в договоре поставки от 11.01.2011 № 11/01/11-М условий начисления процентов за нарушение срока оплаты товара признал их ответственностью. В отсутствие у суда апелляционной инстанции оснований для иных выводов в отношении природы процентов окружной суд отменил апелляционное постановление и оставил в силе решение в соответствии с компетенцией,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«МеталлГрупп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"МеталлГрупп Северо-Запад" (подробнее) Ответчики: ООО "Управление Строительными Проектами"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