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Иркутской области от 21.10.2019, оставленным без изменения постановлением Четвертого арбитражного апелляционного суда от 20.01.2020 и постановлением Арбитражного суда Восточно-Сибирского округа от 08.06.2020, иск удовлетворен. В кассационной жалобе общество просит об отмене судебных актов, ссылаясь на незаконные и необоснованные выводы судов в отношении обстоятельств, составляющих условия для взыскания убытков, незаконный отказ в назначении судебной экспертизы.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Представленные доказательства утраты вследствие пожара имущества, составившие необходимые в силу статей 15 , 1064 и 1082 Гражданского кодекса Российской Федерации условия для взыскания затрат по восстановлению павильона в качестве убытков, были предметом рассмотрения и оценки судов и не подлежат переоценке на стадии кассационного производства. Неназначение судом экспертизы не является нарушением, поскольку в силу статьи 82 Арбитражного процессуального кодекса Российской Федерации экспертиза является одним из доказательств, не имеющим определяющей силы, и назначается для разрешения требующих специальных знаний вопросов, которых в данном случае суды не усмотрели.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«Хрустальная Лебедь»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Ответчики: ООО "Хрустальная лебедь" (подробнее) Судьи дела: Ксенофонтова Н.А. (судья)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