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Сергеева Александра Алексеевна обратилась в суд с заявлением о признании недействительными совокупных взаимосвязанных сделок, заключенных между застройщиком и инвестором, а именно соглашения от 30.09.2016 о расторжении договора № 0016-156/16-СЛТ от 09.02.2016 и акта приема-передачи векселей от 30.09.2016; применении последствий недействительности сделки в виде восстановления инвестора в правах на получение 24 квартир по договору инвестирования строительства офисно-жилого комплекса, заключенному между ним и застройщиком. Определением Арбитражного суда города Москвы от 16.12.2019, оставленным без изменения постановлением Девятого арбитражного апелляционного суда от 20.02.2020, заявление удовлетворено. Постановлением Арбитражного суда Московского округа от 22.06.2020 вышеуказанные судебные акты отменены в части применения последствий недействительности сделок, в отменённой части обособленный спор по заявлению конкурсного управляющего должником направлен на новое рассмотрение в Арбитражный суд города Москвы. В остальной части 2 определение суда первой инстанции от 16.12.2019 и постановление апелляционного суда от 20.02.2020 оставлено в силе. В кассационных жалобах, поданных в Верховный Суд Российской Федерации, заявители просят отменить указанные судебные акты и направить дело в Арбитражный суд города Москвы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первой и апелляционной инстанции, руководствуясь статьями 10, 168, 170 Гражданского кодекса Российской Федерации, статьями 61.1,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 по признакам злоупотребления правом и причинения вреда имущественным правам кредиторам, в результате совершения которых неплатёжеспособный должник инвестор утратил право требования к застройщику на получение двадцати четырёх квартир, получив взамен неравноценное встречное предоставление в виде трёх неликвидных векселей с необоснованно длительной рассрочкой платежа. Суд округа в целом согласился с подобными выводами, однако ввиду неполного установления всех фактических обстоятельств, входящих в предмет доказывания при правильном применении последствий недействительности оспариваемых сделок, счёл необходимым направить обособленный спор в данной части на новое рассмотрение.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«Косинское» Мочалиной Любови Павловне и общества с ограниченной ответственностью «Инвестиционная компания «Недвижимость Инвест»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