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«Грузовики и Спецтехника» удовлетворить. Срок подачи кассационной жалобы на решение Арбитражного суда Челябинской области от 16.10.2019 по делу № А76-22495/2018, постановление Восемнадцатого арбитражного апелляционного суда от 03.02.2020 и постановление Арбитражного суда Уральского округа от 08.06.2020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