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Галеев К.С. обратился в суд с заявлением о включении в реестр требований кредиторов должника требования в размере 50 000 000 рублей, вытекающего из вексельного обязательства. Определением Арбитражного суда Омской области от 24.12.2019, оставленным без изменения постановлениями Восьмого арбитражного апелляционного суда от 16.03.2020 и Арбитражного суда Западно-Сибирского округа от 04.06.2020,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100 Федерального закона от 26.10.2002 № 127-ФЗ «О несостоятельности (банкротстве)», позицией, изложенной в пункте 20 Обзора судебной практики Верховного Суда Российской Федерации № 5 (2017), утверждённого Президиумом Верховного Суда Российской Федерации от 27.12.2017, пришли к выводу об отсутствии оснований для удовлетворения заявления, указав на отсутствие доказательств реальности обязательств, в связи с которыми были выданы векселя.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Галееву Константину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