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Марий Эл от 03.07.2019 производство по делу прекращено на основании пункта 4 части 1 статьи 150 Арбитражного процессуального кодекса Российской Федерации в связи с отказом министерства от заявленного требования. Предприниматель обратился в арбитражный суд с заявлением о взыскании с министерства 70 000 рублей судебных расходов на оплату услуг представителя. Определением Арбитражного суда Республики Марий Эл от 09.10.2019, оставленным без изменения постановлением Первого арбитражного апелляционного суда от 27.01.2020 и постановлением Арбитражного суда Волго-Вятского округа от 21.05.2020, заявление удовлетворено частично, с министерства в пользу предпринимателя взыскано 40 000 рублей судебных расходов.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исследовав и оценив имеющиеся в материалах дела доказательства, руководствуясь положениями статей 101 , 106 , 110 , 112 Арбитражного процессуального кодекса Российской Федерации, правовыми позициями, изложенными в постановлении Пленума Верховного Суда Российской Федерации № 1 от 21.01.2016 «О некоторых вопросах применения законодательства о возмещении издержек, связанных с рассмотрением дела»,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принимая во внимание объем и качество выполненной представителем работы, продолжительность судебных заседаний, средние сложившиеся в регионе цены на аналогичные юридические услуги, исходя из принципов разумности и соразмерности, пришел к выводу о том, что расходы являются обоснованными и подлежат возмещению в размере 40 000 рублей (10 000 рублей за составление отзыва на заявление и 30 000 рублей за участие в предварительных и судебных заседаниях). Суды апелляционной инстанции и округа поддержали выводы суда первой инстанции. Доводы, изложенные в кассационной жалобе, сводятся к повторению позиции предпринимателя о неправомерном снижении суммы судебных расходов, были предметом рассмотрении судов и, по сути, направлены на переоценку фактических обстоятельств, установленных при рассмотрении вопроса о возмещении судебных издержек. Несогласие заявителя с выводами судов ввиду иной оценки обстоятельств не означает допущенной при рассмотрении спора судебной ошибки, не свидетельствует о существенных нарушениях норм права, повлиявших на исход дела, и в силу статьи 291.6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Кудрявцев Д.Г. (подробнее) Министерство промышленности, транспорта и дорожного хозяйства РМЭ (подробнее) Ответчики: Министерство транспорта и дорожного хоз-ва РМЭ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