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его требования в размере 917 999 429 рублей 20 копеек. Определением Арбитражного суда Оренбургской области от 28.10.2019, оставленным без изменения постановлениями Восемнадцатого арбитражного апелляционного суда от 16.12.2019 и Арбитражного суда Уральского округа от 05.03.2020,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с правилами главы 7 Арбитражного процессуального кодекса Российской Федерации, руководствуясь статьями 454, 486 Гражданского кодекса Российской Федерации, статьями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неподтвержденности наличия и размера задолженности, реальности положенных в её основу сделок, в связи с чем отказали в удовлетворении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«Стафф»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