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03.12.2019, оставленным без изменения постановлением Девятнадцатого арбитражного апелляционного суда от 29.01.2020 и постановлением Арбитражного суда Центрального округа от 05.06.2020, заявленное требование удовлетворено частично, постановление управления изменено, размер штрафа снижен до 200 000 рублей.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в части отказа в удовлетворении заявления и удовлетворить требование в полном объеме.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проведена проверка использования земельных участков сельскохозяйственного назначения, находящихся в аренде у общества и установлено противоправное бездействие общества, выразившееся в непринятии мер по выполнению установленных требований и обязательных мероприятий по улучшению, защите земель и охране почв от ветровой, водной эрозии и предотвращению других процессов и иного негативного воздействия на окружающую среду, ухудшающих качественное состояние земель. Постановлением от 02.07.2019 № 70 общество привлечено к административной ответственности, предусмотренной частью 2 статьи 8.7 КоАП РФ, с назначением наказания в виде административного штрафа в размере 400 000 рублей. Не согласившись с постановлением управления, общество обратилось в арбитражный суд. Исследовав и оценив представленные в материалы дела доказательства, судебные инстанции, руководствуясь положениями КоАП РФ, Земельного кодекса Российской Федерации, Федерального закона от 16.07.1998 № 101-ФЗ «О государственном регулировании обеспечения плодородия земель сельскохозяйственного назначения», пришли к выводу о наличии в действиях общества состава административного правонарушения, ответственность за которое установлена частью 2 статьи 8.7 КоАП РФ. В тоже время судами установлено наличие обстоятельств, смягчающих административную ответственность, в связи с чем размер штрафа снижен до 200 000 рублей. Нарушений процессуальных требований при производстве по делу об административном правонарушении, а также признаков малозначительности административного правонарушения судами не установлено. Доводы общества, изложенные в кассационной жалобе, являлись предметом рассмотрения судов трех инстанций и получили надлежащую правовую оценку. По существу доводы заявителя повторяют его позицию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"Грант" (подробнее) Ответчики: Управление федеральной службы по ветеринарному и фитосанитарному надзору по Орловской и Курской области (подробнее) Иные лица: 19 ААС (подробнее) Управление Федеральной службы по ветеринарному и фитосанитарному надзору по Орловской и Курской областям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