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определение Пятого арбитражного апелляционного суда от 23.03.2020 и постановление Арбитражного суда Дальневосточного округа от 26.05.2020 по делу № А51-7262/2019, одновременно заявив ходатайство о восстановлении пропущенного срока ее подачи. Согласно части 2 статьи 291.2 Арбитражного процессуального кодекса Российской Федерации (далее - АПК РФ) срок подачи кассационной жалобы, пропущенный по причинам, не зависящим от лица, обратившегося с такой 2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того же Кодекса). Ходатайство Общества мотивировано ограничительными мерами, введенными в целях противодействия распространению новой коронавирусной инфекции (COVID-19) на территории Приморского края.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АПК РФ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 на основании части 2 статьи 291.2 АПК РФ. Принимая во внимание изложенное и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«Производственно-строительная компания «Риватис» о восстановлении пропущенного процессуального срока на подачу кассационной жалобы на определение Пятого арбитражного апелляционного суда от 23.03.2020 и постановление Арбитражного суда Дальневосточного округа от 26.05.2020 по делу № А51-7262/2019. Судья Верховного Суда Российской Федерации И.Л. Грачева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