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10.12.2019, оставленным без изменения постановлениями Восемнадцатого арбитражного апелляционного суда от 06.03.2020 и Арбитражного суда Уральского округа от 09.06.2020, в удовлетворении заявленного требования отказано. В кассационной жалобе, поданной в Верховный Суд Российской Федерации, предприятие ссылается на существенное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общества на действия предприятия, выразившиеся в экономически, технологически и иным образом не обоснованном установлении различных цен (тарифов) на один и тот же товар (услугу автовокзалов, кассовых пунктов) для предприятий автомобильного транспорта общего пользования (перевозчиков) в границах Республики Башкортостан, антимонопольный орган пришел к выводу о наличии в действиях предприятия признаков нарушения пункта 6 части 1 статьи 10 Федерального закона от 26.07.2006 № 135-ФЗ «О защите конкуренции» (далее - Закон о защите конкуренции). Данные обстоятельства послужили основанием для выдачи предупреждения, которое оспорено предприятием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части 1 статьи 5, пункта 6 части 1 статьи 10, статьи 39.1 Закона о защите конкуренции,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учитывая правовую позицию, изложенную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законности оспоренного предупреждения. При этом судебные инстанции исходили из того, что применение метода ценообразования в процентном соотношении от стоимости перевозки не основано на экономических, технологических и иных особенностях предоставления услуг автовокзала различным перевозчикам и не свидетельствует об установлении одинаковой стоимости количественно, качественно и технологически одинаковых услуг автовокзала для всех перевозчиков, и что стоимость одинаковых услуг автовокзала для каждого перевозчика является различной. Установление для перевозчиков экономически, технологически и иным образом не обоснованных различных цен (тарифы) на один и тот же товар приводит к дискриминации одних перевозчиков по сравнению с другими. Несогласие предприятия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судами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«Башавтотранс»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"Башавтотранс" Республики Башкортостан (подробнее) Ответчики: Управление ФАС России по РБ (подробнее) Иные лица: Федеральный АС Уральского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