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24.08.2020 направило в Верховный Суд Российской Федерации кассационную жалобу и одновременно заявило ходатайство о восстановлении пропущенного срока на ее подачу. Согласно части 2 статьи 291.2 Арбитражного процессуального кодекса Российской Федерации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2 кассационную жалобу, при условии, что ходатайство подано не позднее шести месяцев со дня вступления в законную силу обжалуемого судебного акта. В силу части 2 статьи 117 Арбитражного процессуального кодекса Российской Федерации арбитражный суд восстанавливает пропущенный процессуальный срок, если признает причины пропуска уважительными. Оценив приведенные обществом причины пропуска процессуального срока и основания ее возврата, суд признает их уважительными. Поскольку ходатайство о восстановлении пропущенного процессуального срока заявлено в пределах установленного срока, причины пропуска срока признаны судом уважительными, данное ходатайство подлежит удовлетворению на основании части 2 статьи 291.2 Арбитражного процессуального кодекса Российской Федерации.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«Специализированное управление вспомогательных работ» о восстановлении пропущенного срока удовлетворить, пропущенный срок на подачу кассационной жалобы восстановить.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