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общества с ограниченной ответственностью «Каспийская гидротехническая компания» (далее – должник) общество с ограниченной ответственностью «Многопрофильный строительный департамент «Л-Каспий» (далее – общество) обратилось в Арбитражный суд Астраханской области с заявлением о включении в реестр требований кредиторов должника (далее – реестр) задолженности в размере 135 698 340 руб. 40 коп. Определением суда первой инстанции от 01.11.2019 требование включено в третью очередь реестра. Постановлением суда апелляционной инстанции от 10.01.2020 определение от 01.11.2019 отменено, во включении требования в реестр отказано. Суд округа постановлением от 21.05.2020 оставил постановление от 10.01.2020 без изменения. В кассационных жалобах, поданных в Верховный Суд Российской Федерации, общество и компания «Манчестер Шиппинг Лимитед» просят 2 отменить судебные акты судов апелляционной инстанции и округа в связи с существенными нарушениями судами норм права. Изучив обжалуемые судебные акты, судья не находит оснований для передачи кассационных жалоб на рассмотрение Судебной коллегии Верховного Суда Российской Федерации. В обоснование заявления общество указало на переход к нему по договору уступки права требования с должника задолженности по договорам тайм-чартера судов, заключенных должником и компанией «Манчестер Шиппинг Лимитед» (судовладелец). Отказывая в удовлетворении заявления, суд апелляционной инстанции, с выводами которого согласился суд округа, руководствовался статьей 71 Федерального закона от 26.10.2002 № 127-ФЗ «О несостоятельности (банкротстве)», учел разъяснения, содержащиеся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 из непредставления оригиналов первичной документации, подтверждающей исполнение обязательств по аренде судов, а также отметил корпоративный характер заявленного требования. Доводы о необходимости привлечения к участию в обособленном споре компании «Манчестер Шиппинг Лимитед» являются несостоятельными, поскольку каких-либо выводов о правах и обязанностях последней судебные акты не содержат, договор уступки недействительным не признан. Содержание жалобы не подтверждает существенных нарушений судами норм права, сводится к установлению иных обстоятельств по спору, что не входит в полномочия суда при кассационном производстве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Д.В.Капкаев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