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26.11.2019, оставленным без изменения постановлениями Первого арбитражного апелляционного суда от 27.01.2020 и Арбитражного суда Волго-Вятского округа от 10.06.2020,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1 500 000 рублей, и направлением изъятой алкогольной продукции на уничтожение.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оценив представленные в материалы дела доказательства и установив факт оборота (хранения и реализации) алкогольной продукции в кафе «Pero», арендуемом обществом, без специального разрешения (лицензии),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привлек общество к административной ответственности по части 3 статьи 14.17 КоАП РФ, назначив наказание в виде административного штрафа в размере 1 500 000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в действиях общества состава вмененного правонарушения. Нарушений порядка привлечения предпринимателя к административной ответственности суды не установили, так же как и не установили оснований для признания совершенного обществом правонарушения малозначительным и освобождения от административной ответственности на основании статьи 2.9 КоАП РФ. Доводы общества направлены на переоценку доказательств и установленных судами фактических обстоятельств дела,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«КБК-НН»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МВД России по г.Н.Новгороду (подробнее) Ответчики: ООО " КБК-НН" (подробнее) Иные лица: ООО "КБК-НН"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