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20.08.2020 направило в Верховный Суд Российской Федерации кассационную жалобу на указанные судебные акты и 26.08.2020 заявило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Уважительными причинами пропуска срока для обжалования признаются такие причины, которые объективно препятствовали участнику процесса своевременно подать жалобу. Неверное определение срока подачи кассационной жалобы ввиду незнания работниками общества либо его представителем по доверенности арбитражного процессуального законодательства не может расцениваться в качестве объективной причины пропуска срока и служить основанием для его восстановления.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С учетом изложенного ходатайство о восстановлении пропущенного процессуального срока не подлежит удовлетворению, что является основанием для возврата кассационной жалобы.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«Лабиринт – М»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