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«ДУ-3» обратилось в Верховный Суд Российской Федерации с кассационной жалобой на решение Арбитражного суда Ростовской области от 07.10.2019 по делу № А53-18967/2019, постановление Пятнадцатого арбитражного апелляционного суда от 28.11.2019 и постановление Арбитражного суда Северо-Кавказского округа от 28.05.2020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«ДУ-3» о восстановлении пропущенного срока подачи кассационной жалобы удовлетворить. Срок подачи кассационной жалобы на решение Арбитражного суда Ростовской области от 07.10.2019 по делу № А53-18967/2019, постановление Пятнадцатого арбитражного апелляционного суда от 28.11.2019 и постановление Арбитражного суда Северо-Кавказского округа от 28.05.2020 по тому же делу восстановить. Судья Верховного Суда Д.В. ТютинРоссийской Федерации Суд: Верховный Суд РФ (подробнее) Истцы: ООО "ДУ-3" (подробнее) Ответчики: Государственная жилищная инспекция Ростовской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