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24.08.2020 направило в Верховный Суд Российской Федерации кассационную жалобу на указанные судебные акты и одновременно заявило ходатайство о восстановлении пропущенного срока на ее подачу.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2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обществом причины пропуска процессуального срока, учитывая незначительность пропуска,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«СУ-3» о восстановлении пропущенного срока удовлетворить, пропущенный срок на подачу кассационной жалобы восстановить.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