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банк обратился в суд с заявлением о привлечении к субсидиарной ответственности по обязательствам должника Киренского Константина Владимировича в размере 34 105 720 рублей 32 копеек. Определением Арбитражного суда Липецкой области от 18.10.2019, оставленным без изменения постановлениями Девятнадцатого арбитражного апелляционного суда от 19.03.2020 и Арбитражного суда Центрального округа от 12.08.2020, заявление удовлетворено частично, с Киренского К.В. в пользу должника взыскано 4 550 000 рублей, отказано в удовлетворении остальной части требований. Не согласившись с вышеуказанными судебными актами, банк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2 В обоснование своего ходатайства заявитель указывает на последствия, связанные с отказом в удовлетворении его требований в полном объёме, и на затруднительность возможного исполнения судебного акта в случае увеличения размера субсидиарной ответственности.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«Акционерный коммерческий банк «Трансстройбанк» о приостановлении исполнения определения Арбитражного суда Липецкой области от 18.10.2019 по делу № А36-825/2016, оставленного без изменения постановлением Девятнадцатого арбитражного апелляционного суда от 19.03.2020 и постановлением Арбитражного суда Центрального округа от 12.08.2020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