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01.11.2019, оставленным без изменения постановлением Пятнадцатого арбитражного 2 апелляционного суда от 29.01.2020 и постановлением Арбитражного суда Северо-Кавказского округа от 15.05.2020, в удовлетворении заявленных требований отказано. В кассационной жалобе, поданной в Верховный Суд Российской Федерации, Копыльцов С.В.,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Копыльцов С.В. обратился в антимонопольный орган с жалобой на нарушение обществом Закона о защите конкуренции. В ходе проверки обращения управление не усмотрело оснований для возбуждения дела о нарушении антимонопольного законодательства, поскольку общество не является субъектом естественной монополии по видам деятельности – оказание услуг по передаче электрической энергии и не занимает доминирующего положения на розничном рынке электрической энергии на территории Краснодарского края. Признавая отказ в возбуждении дела законным, суды, оценив представленные в материалы дела доказательства, руководствуясь положениями статей 1, 4, 5, 10, 11 Закона о защите конкуренции, статьи 4 Федерального закона от 17.08.1995 № 147-ФЗ «О естественных монополиях», статьи 26 Федерального закона от 26.03.2003 № 35-ФЗ «Об электроэнергетике», разъяснениями, изложенными в пункте 6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пункте 13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недоказанности осуществления обществом деятельности по оказанию услуг по передаче электрической энергии. 3 Суды отметили, что общество не является субъектом монополии по названному виду деятельности, исходя из отсутствия установленного уполномоченным органом тарифа на услуги и отсутствия общества в реестре субъектов, в отношении которых осуществляется государственное регулирование. При этом все разногласия относительно препятствования осуществлению технологического присоединения к электрическим сетям носят гражданско-правовой характер и рассматриваются в судебном порядке. Доводы, изложенные в кассационной жалобе, не опровергают выводы судов, сделанные с учетом установленных обстоятельств спора, и не свидетельствуют о существенном нарушении судами норм материального и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Копыльцову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