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Ставропольского края от 07.10.2019, оставленным без изменения постановлением Шестнадцатого арбитражного апелляционного суда от 19.12.2019, в удовлетворении заявленных требований отказано. 2 Постановлением Арбитражного суда Северо-Кавказского округа от 03.06.2020 указанные судебные акты оставлены без изменения. Предприниматель обратилась в Верховный Суд Российской Федерации с кассационной жалобой, в которой просит состоявшиеся по делу судебные акты отменить, считая их незаконными и необоснованными. При изучении доводов жалобы и принятых по делу судебных актов оснований для удовлетворения жалобы не установлено. Как следует из судебных актов, основанием для привлечения к ответственности послужил выявленный административным органом факт реализации предпринимателем на заправочных станциях автомобильного бензина, не соответствующего Техническому регламенту Таможенного союза 013/2011 «О требованиях к автомобильному и авиационному бензину, дизельному и судовому топливу, топливу для реактивных двигателей и мазуту» по показателю «массовая доля серы» (превышение нормативного показателя в 2,9 раза). Частью 2 статьи 14.43.1 Кодекса Российской Федерации об административных правонарушениях установлена административная ответственность за нарушение изготовителем, исполнителем (лицом, выполняющим функции иностранного изготовителя) или продавцом требований технического регламента о требованиях к автомобильному и авиационному бензину, дизельному и судовому топливу, топливу для реактивных двигателей и мазуту в части несоответствия этим требованиям характеристик автомобильного и авиационного бензина, дизельного и судового топлива, топлива для реактивных двигателей и мазута. Оценив представленные доказательства и установив нарушение продавцом требований технического регламента о требованиях к автомобильному бензину, руководствуясь положениями Федерального закона от 27.12.2002 № 184-ФЗ «О техническом регулировании», Технического регламента Таможенного союза 013/2011, суды признали доказанным наличие в действиях предпринимателя состава административного правонарушения, 3 ответственность за совершение которого предусмотрена частью 2 статьи 14.43.1 Кодекса Российской Федерации об административных правонарушениях. Вина в совершении правонарушения установлена, процедура и срок давности привлечения к административной ответственности соблюдены, назначенный штраф соответствует целям административного наказания. Приведенные в кассационной жалобе доводы являлись предметом рассмотрения судов и получили исчерпывающую правовую оценку в соответствующих судебных актах, в том числе, исходя из действующих методических рекомендаций для проведения общественного контроля на АЗС и доведения его результатов до органа госконтроля.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