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2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последнего обжалуемого судебного акта, судья усматривает основания для удовлетворения ходатайства.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«АРТИВИ» о восстановлении пропущенного срока подачи кассационной жалобы на постановление Пятнадцатого арбитражного апелляционного суда от 29.01.2020 и постановление Арбитражного суда Северо-Кавказского округа от 20.05.2020 по делу Арбитражного суда Краснодарского края № А32-6202/2019 удовлетворить, срок восстановить. Судья Верховного Суда Р.А. Хатыпова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