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Кемеровской области от 23.09.2019, оставленным без изменения постановлением Седьмого арбитражного апелляционного суда от 16.12.2019, заявленное требование удовлетворено частично, решение инспекции признано недействительным в части доначисления 268 323 рублей 20 копеек налога на прибыль, соответствующих сумм пени и штрафа. В удовлетворении требования в остальной части отказано. Постановлением Арбитражного суда Западно-Сибирского округа от 03.06.2020 решение суда первой инстанции и постановление суда апелляционной инстанции отменены в части признания недействительным решения инспекции, а также взыскания судебных расходов по уплате государственной пошлины; в указанной части дело направлено на новое рассмотрение в Арбитражный суд Кемеровской области. В остальной части судебные акты оставлены без изменения. В кассационной жалобе, поданной в Верховный Суд Российской Федерации, общество просит отменить постановление суда округа, ссылаясь на существенное нарушение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основанием для доначисления 268 323 рублей 20 копеек налога на прибыль, начисления соответствующих сумм пени и штрафа послужил вывод налогового органа о неправомерном отнесении в состав косвенных расходов затрат на оплату труда и обязательного страхования работников цехов синтеза, инфузионных растворов и готовых лекарственных средств. По мнению налогового органа, данные затраты подлежат отнесению к прямым расходам, поскольку работа в указанных цехах относится к основному производству, что также следует из штатного расписания налогоплательщика. Признавая решение инспекции в указанной части незаконным, суды первой и апелляционной инстанций, руководствуясь положениями статей 252 , 254 , 318 , 319 Налогового кодекса Российской Федерации, пришли к выводу о правомерности отнесения обществом спорных затрат в состав косвенных расходов. Судебные инстанции исходили из наличия в налоговом законодательстве права самостоятельного определения налогоплательщиком в учетной политике перечня прямых и косвенных расходов; возможности распределения расходов от конкретных условий хозяйствования и наличия условного характера; неправомерности произвольного вмешательства налогового органа в выбор налогоплательщика и переоценки распределения расходов. Отменяя судебные акты и направляя дело в указанной части на новое рассмотрение, суд округа исходил из того, что выводы судов первой и апелляционной инстанций вопреки требованиям процессуального законодательства основаны на неполно выясненных фактических обстоятельствах дела, что могло привести к принятию неправильного решения по существу спора. Суд кассационной инстанции указал, что квалификация расхода в качестве прямого или косвенного не может зависеть исключительно от произвольного усмотрения налогоплательщика, а должна быть обоснованной. Возможность самостоятельного определения состава прямых расходов в учетной политике не означает, что этот процесс зависит исключительно от воли налогоплательщика. Вместе с тем, при рассмотрении спора не получили оценки доводы налогового органа, в том числе о непредставлении обществом объективных доказательств отсутствия реальной возможности отнесения указанных затрат к прямым расходам, равно как и экономического либо иного рационального обоснования отнесения их к косвенным расходам. Также инспекция ссылалась на то, что представленная обществом учетная политика не раскрывает в полном объеме порядок ведения налогового учета, применяемые формы документов налогового учета (регистров), содержат недостоверные ссылки на нормативные документы, которыми руководствуется налогоплательщик; порядок распределения расходов на прямые и косвенные в учетной политике заявителя не определен. Кроме того, в судебных актах отсутствует оценка доказательств, представленных налоговым органом в обоснование своих доводов (протоколов допросов, штатного расписания, производственно-технических отчетов и других). В связи с чем, при новом рассмотрении дела суду необходимо устранить выявленные нарушения, установить все имеющие существенное значение для дела обстоятельства с учетом доводов и возражений всех участвующих в деле лиц. Отменяя судебные акты, суд округа действовал в пределах предусмотренных статьей 287 Арбитражного процессуального кодекса Российской Федерации полномочий и исходил из неправильного применения судами норм материального и процессуального права. При этом суд округа не устанавливал и не считал доказанными обстоятельства, которые не были установлены в решении либо были отвергнуты судами первой и апелляционной инстанций, не предрешал вопросы о достоверности или недостоверности доказательств, преимуществе одних доказательств перед другими, о том, какая норма материального права должна быть применена и какое решение должно быть принято при новом рассмотрении дела. Доводы общества, изложенные в кассационной жалобе, не подтверждают нарушения норм материального и процессуального права при вынесении обжалуемого судебного акта и не опровергают выводы суда округа о необходимости установления для правильного рассмотрения дела всех имеющих значение обстоятельств. При новом рассмотрении дела заявитель не лишен возможности изложить свои доводы по всем возникающим в ходе рассмотрения дела вопросам, представить соответствующие доказательства, а также иными способами обосновать свою позицию по настоящему спору.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«Авексима Сибирь»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"Авексима Сибирь" (подробнее) Ответчики: межрайонная инспекция Федеральной налоговой службы №9 по Кемеровской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