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14.08.2019 иск удовлетворен частично. Постановлением Девятого арбитражного апелляционного суда от 26.11.2019 решение от 14.08.2019 отменено, в удовлетворении иска отказано. Постановлением Арбитражного суда Московского округа от 02.06.2020 решение и постановление апелляционного суда отменены в связи с неисследованием необходимых для разрешения дела обстоятельств, дело направлено на новое рассмотрение в суд первой инстанции. В кассационной жалобе общество просит отменить постановления апелляционного и окружного судов, ссылаясь на незаконную оценку договора.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установив, что существенным для дела является не оценка договора, а объем фактически оказанных услуг, не установленный судами, направил дело на новое рассмотрение для разрешения этого вопроса. Обжалуемое постановление принято окружным судом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Жалоба в отношении постановления апелляционной инстанции является беспредметной, учитывая его отмену.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финансовых расследований»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