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20.11.2019, оставленным без изменения постановлением Одиннадцатого арбитражного апелляционного суда от 18.02.2020 и постановлением Арбитражного суда Поволжского округа от 01.06.2020, первоначальный иск удовлетворен, во встречном иске отказано. В кассационной жалобе общество просит о пересмотре судебных актов, ссылаясь на неисполнение предпринимателем обязанности по передаче оборудования и представление им ненадлежащих доказательств приобретения права собственности на оборудование.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Подписание сторонами акта о передаче арендованного оборудования означает исполнение договора от 18.06.2019 № 20-19 и возникновение обязанности по уплате согласованной в нем арендной платы, требование о взыскании которой удовлетворено в соответствии со статьями 606 , 608 , 611 , 614 Гражданского кодекса Российской Федерации. Условий для признания незаключенным исполняемого сторонами договора не имеется,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«Корзащита»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Мухаметов Алмаз Наилевич, Тукаевский район, п. Нефтебаза (подробнее) Ответчики: ООО "Корзащита", г.Альметьевск (подробнее) Иные лица: Государственное унитарное предпринятие Управление почтовой связи "Татарстан почтасы"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