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18.10.2019 иск удовлетворен. Постановлением Тринадцатого арбитражного апелляционного суда от 22.01.2020 решение изменено в отношении суммы процентов, проценты взысканы в сумме 4 269 рублей 07 копеек. Арбитражный суд Северо-Западного округа постановлением от 19.05.2020 постановление Тринадцатого арбитражного апелляционного суда от 22.01.2020 оставил без изменения. В кассационной жалобе акционерное общество «СИБУР-Транс» просит об отмене судебных актов, ссылаясь на неправомерность начисления платы за 2 предоставление железнодорожных путей общего пользования в перевозочном процессе до истечения последних суток нормативного срока доставки грузов.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заявителя опровергается исследованными судом доказательствами нарушения им срока оборота вагонов, повлекшего просрочку доставки грузов (актами общей формы, памятками приемосдатчика). Судебные акты соответствуют договору от 26.10.2016 № 66/16/М, статье 39 Федерального закона от 10.01.2003 № 18-ФЗ «Устав железнодорожного транспорта Российской Федерации» и представленным доказательствам.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«СИБУР-Транс»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