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05.11.2019, оставленным без изменения постановлением Восьмого арбитражного апелляционного суда от 20.01.2020, иск удовлетворен. Постановлением Арбитражного суда Западно-Сибирского округа от 25.05.2020 указанные судебные акты оставлены без изменения. Ответчик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требования, признав доказанным факт выполнения истцом работ по разработке проектно-сметной документации в спорном объеме и ее передачу ответчику. Доводы жалобы были предметом исследования судов и получили исчерпывающую правовую оценку исходя из представленных сторонами доказательств качества и объема выполненных работ,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"Стройгеопроект" (подробнее) Ответчики: Казенное учреждение Ханты-Мансийского автономного округа-Югры "Управление капитального строительства"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