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Севастополя от 19.09.2019, оставленным без изменения постановлением Двадцать первого арбитражного апелляционного суда от 24.01.2020, иск удовлетворен. Постановлением Арбитражного суда Центрального округа от 15.06.2020 указанные судебные акты оставлены без изменения. Ответчик обратился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требования, признав доказанным факт выполнения истцом работ по разработке проектно-сметной документации в спорном объеме в отсутствие их оплаты. Доводы жалобы были предметом исследования судов и получили исчерпывающую правовую оценку исходя из представленных сторонами доказательств качества и объема выполненных работ,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СМУ-ПРОГРЕСС (подробнее) Ответчики: АНО ГОСУДАРСТВЕННОЕ БЮДЖЕТНОЕ УЧРЕЖДЕНИЕ ДИРЕКЦИЯ КАПИТАЛЬНОГО СТРОИТЕЛЬСТВА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