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Яловой Святослав Юрьевич обратился в суд с заявлением о признании недействительными сделками: договора дарения гаража и земельного участка от 01.06.2016, заключенного между должником и Васильевым Евгением Леонидовичем; договора дарения жилого дома и земельного участка от 01.06.2016, заключенного между должником и Мамурковой Ксенией Сергеевной в лице законного представителя (отца) Мамуркова С.В.; договора дарения квартиры в общую долевую собственность; договора купли-продажи автомобиля от 14.11.2016, заключенного с Мамурковым С.В.; договора купли-продажи автомобиля от 13.07.2016, заключенного с Мамурковым С.В.; договора купли-продажи автомобиля от 07.04.2017, заключенного с Мамурковым С.В., а также применении последствий недействительности сделок в виде возврата в конкурсную массу переданного по сделкам имущества. Определением Арбитражного суда Иркутской области от 16.10.2019, оставленным без изменения постановлениями Четвертого арбитражного апелляционного суда от 29.01.2020 и Арбитражного суда Восточно-Сибирского округа от 94.06.2020, заявление удовлетворено частично, признаны недействительными сделки: договор дарения от 01.06.2016 гаража общей 2 площадью 310,6 кв. м, и земельного участка площадью 1133 кв. м, кадастровый номер 38:12:010112:136; договор дарения от 23.11.2016 квартиры общей площадью 104,6 кв. м, кадастровый номер 38:36:000029:0:329/11; договор купли-продажи от 14.11.2016 автомобиля BMW Х6 2013 г.в. гос. рег. знак А006АР 138; договор купли-продажи от 13.07.2016 автомобиля 4744LMA3- 6312A9 2012 г.в. К171ХЕ38; договор купли-продажи от 07.04.2017 автомобиля TOYOTA TOYOACE 1996 г.в. гос. рег. знак Н227НЕ 38. Применены последствия недействительности сделок в виде возврата конкурсную массу должника указанного имущества, отказано в удовлетворении остальной части требований. В кассационных жалобах, поданных в Верховный Суд Российской Федерации, заявители просят отменить названные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оспариваемых сделок с противоправной целью в период подозрительности при наличии признаков несостоятельности должника заинтересованными лицами при неравноценном встречном исполнении или его отсутствии, признали обоснованность требований, указав на следствие сделок – причинение вреда имущественным правам кредиторов должника путём вывода ликвидного имущества с целью недопущения обращения на него взыскания со стороны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 и получили надлежащую оценку, отклонены как несостоятельные с подробным изложением мотивов отклонения. 3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Васильевой Наталье Леонидовне и Мамуркову Сергею Витальевичу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