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24.02.2019 в удовлетворении иска отказано. Постановлением Тринадцатого арбитражного апелляционного суда от 24.10.2019, оставленным без изменения постановлением Арбитражного суда Северо-Западного округа от 13.02.2020, решение отменено, иск удовлетворен. В кассационной жалобе общество «Компания «ТехноПром» просит об отмене судебных актов апелляционного и окружного судов, ссылаясь на недоказанность некачественности товара и несоответствие договору поведения истца, неправомерное рассмотрение измененных одновременно по предмету и основаниям требований.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Повторно рассмотревший дело суд апелляционной инстанции установил, что вследствие поставки ответчиком товара ненадлежащего качества истцом понесены убытки. В силу статей 15 , 393 , 469 , 475 Гражданского кодекса Российской Федерации поставщик отвечает за качество товара перед покупателем и требование о возмещения убытков, составляющих расходы на устранение недостатков товара, является правомерным, поэтому удовлетворено судом апелляционной инстанции. Доводы кассационной жалобы не подтверждают нарушения норм права и не составляют оснований для пересмотра судебных актов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«Компания «ТехноПром»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"ТОК" (подробнее) Ответчики: ООО "Технопром" (подробнее) Иные лица: ООО КОМПАНИЯ "ТЕХНОПРОМ"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